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356" w:type="dxa"/>
        <w:tblInd w:w="0" w:type="dxa"/>
        <w:tblLayout w:type="fixed"/>
        <w:tblCellMar>
          <w:top w:w="0" w:type="dxa"/>
          <w:left w:w="108" w:type="dxa"/>
          <w:bottom w:w="0" w:type="dxa"/>
          <w:right w:w="108" w:type="dxa"/>
        </w:tblCellMar>
      </w:tblPr>
      <w:tblGrid>
        <w:gridCol w:w="1788"/>
        <w:gridCol w:w="5568"/>
      </w:tblGrid>
      <w:tr>
        <w:tblPrEx>
          <w:tblLayout w:type="fixed"/>
          <w:tblCellMar>
            <w:top w:w="0" w:type="dxa"/>
            <w:left w:w="108" w:type="dxa"/>
            <w:bottom w:w="0" w:type="dxa"/>
            <w:right w:w="108" w:type="dxa"/>
          </w:tblCellMar>
        </w:tblPrEx>
        <w:trPr>
          <w:trHeight w:val="278" w:hRule="atLeast"/>
        </w:trPr>
        <w:tc>
          <w:tcPr>
            <w:tcW w:w="1788" w:type="dxa"/>
            <w:tcBorders>
              <w:top w:val="single" w:color="A9D08E" w:sz="12" w:space="0"/>
              <w:left w:val="single" w:color="A9D08E" w:sz="12" w:space="0"/>
              <w:bottom w:val="nil"/>
              <w:right w:val="nil"/>
            </w:tcBorders>
            <w:shd w:val="clear" w:color="000000" w:fill="E2EFDA"/>
            <w:noWrap/>
          </w:tcPr>
          <w:p>
            <w:pPr>
              <w:widowControl/>
              <w:jc w:val="center"/>
              <w:rPr>
                <w:rFonts w:ascii="楷体_GB2312" w:hAnsi="宋体" w:eastAsia="楷体_GB2312" w:cs="宋体"/>
                <w:b/>
                <w:bCs/>
                <w:color w:val="000000"/>
                <w:kern w:val="0"/>
                <w:sz w:val="22"/>
              </w:rPr>
            </w:pPr>
            <w:r>
              <w:rPr>
                <w:rFonts w:hint="eastAsia" w:ascii="楷体_GB2312" w:hAnsi="宋体" w:eastAsia="楷体_GB2312" w:cs="宋体"/>
                <w:b/>
                <w:bCs/>
                <w:color w:val="000000"/>
                <w:kern w:val="0"/>
                <w:sz w:val="22"/>
              </w:rPr>
              <w:t>宏观</w:t>
            </w:r>
          </w:p>
        </w:tc>
        <w:tc>
          <w:tcPr>
            <w:tcW w:w="5568" w:type="dxa"/>
            <w:tcBorders>
              <w:top w:val="single" w:color="A9D08E" w:sz="12" w:space="0"/>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中央财经委员会第五次会议研究推动形成优势互补高质量发展的区域经济布局问题、提升产业基础能力和产业链水平问题；央行：尽快实现新发放贷款主要参考LPR定价；国务院印发《中国(山东)、(江苏)、(广西)、(河北)、(云南)、(黑龙江)自由贸易试验区总体方案》；我国修改土地管理法 集体土地可入市；美国三大股指涨逾1%道指涨近270点 科技股普涨。</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9D08E" w:sz="12" w:space="0"/>
              <w:bottom w:val="nil"/>
              <w:right w:val="nil"/>
            </w:tcBorders>
            <w:shd w:val="clear" w:color="000000" w:fill="E2EFDA"/>
            <w:noWrap/>
          </w:tcPr>
          <w:p>
            <w:pPr>
              <w:widowControl/>
              <w:jc w:val="center"/>
              <w:rPr>
                <w:rFonts w:hint="eastAsia" w:ascii="楷体_GB2312" w:hAnsi="宋体" w:eastAsia="楷体_GB2312" w:cs="宋体"/>
                <w:b/>
                <w:bCs/>
                <w:color w:val="000000"/>
                <w:kern w:val="0"/>
                <w:sz w:val="22"/>
              </w:rPr>
            </w:pPr>
            <w:r>
              <w:rPr>
                <w:rFonts w:hint="eastAsia" w:ascii="楷体_GB2312" w:hAnsi="宋体" w:eastAsia="楷体_GB2312" w:cs="宋体"/>
                <w:b/>
                <w:bCs/>
                <w:color w:val="000000"/>
                <w:kern w:val="0"/>
                <w:sz w:val="22"/>
              </w:rPr>
              <w:t>股指期货</w:t>
            </w:r>
          </w:p>
        </w:tc>
        <w:tc>
          <w:tcPr>
            <w:tcW w:w="5568" w:type="dxa"/>
            <w:tcBorders>
              <w:top w:val="nil"/>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A9D08E" w:sz="12" w:space="0"/>
              <w:bottom w:val="nil"/>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受利空消息影响，周一A股市场主要指数大幅低开后弱反弹，虽然盘中大单和港资均出现较大幅度的流出，但整体未出现恐慌性抛盘，两市跌停非ST个股仅三家，跌幅超过5%的个股仅45家左右。股指期货市场跟随现指调整，幅度与标的指数接近，收盘总持仓整体主要是权重股期指明显减仓，近期呈现反弹增仓，调整减仓的现象，仓价配合尚可。技术上，上证综指跳空下跌，承压于60日线，不过未失守20日线，近期反弹趋势维持，另外，上证50等权重股指数和创业板指数虽然失守5日线 ，但多条均线发散向上的强技术形态维持，后市关注周一的向下跳空缺口能否快速回补。消息面上，近期国内消息面利好不断，对冲贸易利空影响，另外隔夜美股明显收涨。</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逻辑：周一盘面表现出较强的韧性，技术上未破位，消息面上，近期国内利好较多对冲贸易利空影响，隔夜美股收涨。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策略：反弹趋势未被破坏，暂且观望或者短多为主。</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　</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9D08E" w:sz="12" w:space="0"/>
              <w:bottom w:val="nil"/>
              <w:right w:val="nil"/>
            </w:tcBorders>
            <w:shd w:val="clear" w:color="000000" w:fill="E2EFDA"/>
            <w:noWrap/>
          </w:tcPr>
          <w:p>
            <w:pPr>
              <w:widowControl/>
              <w:jc w:val="center"/>
              <w:rPr>
                <w:rFonts w:hint="eastAsia" w:ascii="楷体_GB2312" w:hAnsi="宋体" w:eastAsia="楷体_GB2312" w:cs="宋体"/>
                <w:b/>
                <w:bCs/>
                <w:color w:val="000000"/>
                <w:kern w:val="0"/>
                <w:sz w:val="22"/>
              </w:rPr>
            </w:pPr>
            <w:r>
              <w:rPr>
                <w:rFonts w:hint="eastAsia" w:ascii="楷体_GB2312" w:hAnsi="宋体" w:eastAsia="楷体_GB2312" w:cs="宋体"/>
                <w:b/>
                <w:bCs/>
                <w:color w:val="000000"/>
                <w:kern w:val="0"/>
                <w:sz w:val="22"/>
              </w:rPr>
              <w:t>国债期货</w:t>
            </w:r>
          </w:p>
        </w:tc>
        <w:tc>
          <w:tcPr>
            <w:tcW w:w="5568" w:type="dxa"/>
            <w:tcBorders>
              <w:top w:val="nil"/>
              <w:left w:val="nil"/>
              <w:bottom w:val="nil"/>
              <w:right w:val="single" w:color="A9D08E"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A9D08E" w:sz="12" w:space="0"/>
              <w:bottom w:val="nil"/>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周一央行开展1500亿MLF操作，中标利率3.30%，持平上次；当日不开展逆回购操作。当日200亿元逆回购和1490亿元MLF到期。银行间市场资金面转为紧平衡，隔夜和七天回购加权利率续小涨。银行间现券收益率小幅下行，10年期国债活跃券190006收益率下行1.77bp报3.0450%。国债期货小幅收涨，10年期主力合约涨0.05%，盘中最大涨幅0.39%，5年期主力合约涨0.02%，盘中最大涨幅0.21%，2年期主力合约涨0.04%。</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从影响因素看，受避险情绪和外盘的带动，债市开盘强势，但有点后劲不足。央行小幅净回笼资金面转为紧平衡，MLF续做利率不变也对收益率下行幅度造成一定压制。短期债市关注周边市场表现及CPI数据是否超预期。</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9D08E" w:sz="12" w:space="0"/>
              <w:bottom w:val="single" w:color="A9D08E" w:sz="12" w:space="0"/>
              <w:right w:val="single" w:color="A9D08E"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逻辑：基本面、货币政策面稳定，技术上略偏负面。</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策略：债市短期调整概率较大，未来一段时间仍有上涨空间。</w:t>
            </w:r>
          </w:p>
        </w:tc>
      </w:tr>
      <w:tr>
        <w:tblPrEx>
          <w:tblLayout w:type="fixed"/>
          <w:tblCellMar>
            <w:top w:w="0" w:type="dxa"/>
            <w:left w:w="108" w:type="dxa"/>
            <w:bottom w:w="0" w:type="dxa"/>
            <w:right w:w="108" w:type="dxa"/>
          </w:tblCellMar>
        </w:tblPrEx>
        <w:trPr>
          <w:trHeight w:val="278" w:hRule="atLeast"/>
        </w:trPr>
        <w:tc>
          <w:tcPr>
            <w:tcW w:w="1788" w:type="dxa"/>
            <w:tcBorders>
              <w:top w:val="single" w:color="8EA9DB" w:sz="12" w:space="0"/>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棉花</w:t>
            </w:r>
          </w:p>
        </w:tc>
        <w:tc>
          <w:tcPr>
            <w:tcW w:w="5568" w:type="dxa"/>
            <w:tcBorders>
              <w:top w:val="single" w:color="8EA9DB" w:sz="12" w:space="0"/>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59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信息面上：</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1、上周五夜盘开盘前中方对之前免税部分重新加征，美方在周六早上5点表示对等提升，短期紧张局势继续升级；</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2、截至2019年8月23日，ICE可交割的2号期棉合约库存为22342包，持平前一交易日；</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3、7月工业库存数据显示，纱线和坯布库存较上月下降，环比改善，但同比增加；12日晚间公布的USDA报告调高全球棉花库存200万包至8245万包，中国农业部将中国消费预期下调至825万吨，进口下调至205万吨；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4、当前纱线测算利润从低点回升，由于棉纱价格变动慢，目前测算棉纱利润处于近一年中间偏高位置（-200-+700）；</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5、与涤纶比价上，棉花棉纱与TA涤纶比价继续回升至近期高位，比价对化纤有利；</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6、仓单方面，仓单高点出现在5月14日；预报高点出现在4月11日，二者总数出现在4月23日的92.588万吨，8月26日仓单减少134张，当前仓单加预报合计52.676万吨；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7、1%关税下美棉报价低于国内指数且与棉花指数价差扩大，但滑准税价格仍高于国内棉花指数；</w:t>
            </w:r>
          </w:p>
        </w:tc>
      </w:tr>
      <w:tr>
        <w:tblPrEx>
          <w:tblLayout w:type="fixed"/>
          <w:tblCellMar>
            <w:top w:w="0" w:type="dxa"/>
            <w:left w:w="108" w:type="dxa"/>
            <w:bottom w:w="0" w:type="dxa"/>
            <w:right w:w="108" w:type="dxa"/>
          </w:tblCellMar>
        </w:tblPrEx>
        <w:trPr>
          <w:trHeight w:val="243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国内棉花上，关税阴影再起，在关税消息无实质性改变前市场心态差，价格脆弱；</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1、套保：宏观不定，套保空单持有；</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2、套利观望，持有现货未对冲者可以考虑抛9买1进行换货操作；</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3、投机：关税影响，9月合约跌破12000，不考虑升贴水情况下价格低于美棉1%关税进口价格，按历史价格有修复动能，但预期局势有进一步恶化可能；</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4、期权方面，观望为主。</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白糖</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97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隔夜ICE原糖期货继续偏弱运行，收盘10月合约报收11.44美分/磅，跌0.03分/磅，跌0.26%。一方面受累于原油下跌的拖累，一方面雷亚尔汇率继续贬值压力影响。目前市场忧虑印度出口政策继续对国际糖市供应带来的压力还未褪去，原糖继续承压运行，不过因19/20榨季全球食糖减产的支撑，原糖深跌可能性不高，但原糖技术面偏空偏弱，继续关注下11美分关口支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糖市近两日连续盘整态势，主力2001合约多头死守5400上方运行。不过资金表现上冲遭遇减持散多离场的影响，期价上冲乏力，继续关注5400关口的支撑表现。基本面现货偏强，但价格已经有所疲软，广西现货5600，北方加工糖价格坚挺，说明现货依然强势。当前区域间不平衡状态仍然存在，但中秋备货即将结束，市场需要新的需求点， 7月进口数据偏空令糖价短期承压。继续关注后期进口糖加工后的新增压力和国储流出可能。</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逻辑：进口新增供应预期压力仍未兑现，现货坚挺，不过中秋备货将结束及进口方面利空，糖价进入调整，后期进口供应增加及国储等继续不利于远期。</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策略：空单注意仓位管理偏空移仓远月滚动操作。今日郑糖2001合约运行区间5380-5480</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油脂</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晚油脂普遍低开，然后震荡，马盘因多头获利回吐出现了技术性调整。短期来看，多头和空头都没有任何强烈的逻辑支撑，而美国总统川普的表态又让人对美国主动要求缓和贸易摩擦产生了一种预期。昨天CBOT场内时段结束后，USDA发布的数据显示，美国大豆优良率上升至54%。</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内油脂现货市场基差运行平稳。华北市场一级豆油基差报价2001-120，8月提货；日照2001-140，8月提货，张家港东海2001+90，10月提货；天津港贸易商24度棕榈油一口价4830，9月提货，张家港益江P1909+80；广州贸易商24度棕榈油基差报价P,2001-60。福建沿海油厂进口菜油OI01-50。</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本月初贸易摩擦再次激化后，远期大豆供给紧张、汇率波动和短期油脂供应偏少而需求旺盛等因素共同推动油脂价格走强。目前市场上看多油脂的氛围仍然很浓，但产业对上涨空间的预期不高。由于目前缺乏新的利多，价格暂时持稳。如果出现较大幅度的回调，将给出买入的时机。</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策略：持有少量单边油脂多头敞口。</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豆粕</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51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沿海豆粕价格2970-3050元/吨一线，涨40-80元/吨。国内沿海一级豆油主流价格在6100-6380元/吨，涨100-130元/吨（天津贸易商6100-6110，日照贸易商6160，张家港贸易商6380，广州贸易商6220）。豆粕期货价格上涨，豆粕成交平稳，总成交19.242万吨。豆油期货价格上涨，豆油成交依然不多。隔夜CBOT大豆期货价格上涨，市场寄望于中美谈判。目前CBOT大豆期货价格仍处在下行通道中，整体走势偏弱，11月合约在855美分/蒲式耳附近受到支撑，预计CBOT大豆价格下方空间有限。随着中美经贸冲突不断升级，南美大豆CNF价格小幅度稳步提高、人民币汇率持续贬值。在二者的共同影响下，国内大豆到港成本提升，伴随着豆粕消费有所好转，豆粕价格走高。在中美冲突进一步升级的前提下，我们认为南美大豆CNF价格仍有上涨空间，预期345美元/吨，人民币汇率预计在7.19。由此DCE豆粕价格将上涨至3200元/吨左右。M15价差目前已上涨至200元/吨之上，考虑到上年度在非洲猪瘟的影响下生猪大量压栏，而本年度生猪存栏量大幅下降，因此认为M15上涨空间有限。</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逻辑：中美贸易冲突升级前提下，南美大豆CNF价格仍有上涨空间，国内大豆到港成本提高将推升DCE豆粕价格。由于本年度生猪存较去年大幅下降，将限制M15价差涨幅。</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策略：1.剩余一半M15正套持仓建议在成本附近离场。2.M2001合约多单暂时持有。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鸡蛋</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43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蛋价维持强势，普遍小幅上涨，目前国内蛋价在4.9-5.1元/斤，折合近月盘面5200-5400元/500千克。近期中秋送鸡蛋礼盒的需求暴增，小蛋需求好转，小蛋涨幅高于大蛋，对大蛋的拖累降低，助蛋价继续冲高。但目前食品厂备货基本结束，升学宴也进入尾声，随着中秋节临近礼盒需求也将由盛转衰，而且目前由于蛋价过高，下游消费有所抵抗，走货放缓，同时由于初进入开产的蛋鸡比例较大，随着天气变凉，产蛋率和鸡蛋快速增大将增加鸡蛋供应。因此蛋价由拐头的时间点临近。但同时可以看到猪肉价格不断上涨，已创历史新高，市场猪肉价格已超过20元/斤，目前猪肉、鸡肉、水果和蔬菜都处于历史同时期最高位，在一定程度提振鸡蛋需求，因此鸡蛋下跌幅度或低于往年。</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 01合约继续在产业蛋鸡开产多和产业外猪肉上涨的支撑蛋价两个逻辑之间摇摆，重点关注猪肉价格和鸡蛋现货未来下跌幅度，目前看中秋后蛋价下跌幅度或低于往年，而猪肉没有止步的迹象，因此01仍将偏强运行，但连续上涨后不排除回调的可能。</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策略：操作上建议多单持有，但不建议追多。</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苹果</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78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昨日苹果主力合约1910宽幅宽震荡收十字星阴线。1910合约收9122元/吨，跌11点，跌幅0.12%，成交量减少24526手至18.2万手，持仓量减少9240手至12.4万手。</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现货方面，陕西产区：嘎啦交易行情混乱，好货、差货价差巨大，好货价格在3.5元/斤，而且好货难寻。甘肃产区：秦安产区嘎啦交易价格好货稳定在3.50-4.0元/斤，量小；整体上嘎啦质量偏差，差货价格下滑较大。临近中秋市场对苹果需求回暖，走货逐渐增加，库存富士有回暖趋势。有客商选择入库部分质优嘎啦，用于供应中秋市场；产区早熟富士预计8月下旬摘袋，9月份上旬上市，供应中秋市场。新产季产量公认同比增长较多，但是近期有产区反应苹果果面果锈较多，生长孔过大，果个偏小、褐斑病导致落叶等现象较多。到苹果采收还有一个半月时间，气象因素在晚熟富士质量上占首位，适宜的降雨、温度都会影响后期苹果质量，所以重点关注苹果产区天气状况。未来24小时，西部产区、山东产区有降雨。全国气象干旱综合检测图显示陕西部分产区正常，山东产区为轻旱或中旱，甘肃产区正常。</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桃子西瓜等低价替代趋于结束，中秋旺季备货即将来临，嘎啦市场反应质量较差，有客商重回产区调运库存富士，需求或将回暖；晚熟富士下树有一个半月，气象因素在晚熟富士质量上占首位。策略：晚熟富士下树前影响盘面因素较多，1910合约在8800-9500区间震荡，操作上建议多单继续持有，套利可关注空10多远月反套机会。</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玉米和淀粉</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94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国内玉米价格国内玉米价格大多稳，个别下跌。全国玉米均价为1924元/吨，跌4元/吨。山东深加工企业收购价主流区间在2030-2086元/吨，跌10元/吨，辽宁锦州港口玉米14.5个水收购价在1880-1900元/吨稳，鲅鱼圈港口陈粮15个水价格1850-1860元/吨稳，广东蛇口港口二等玉米成交价下调至1980元/吨，跌10-20元/吨。国内玉米淀粉价格大多稳定，个别略跌。山东、河北地区玉米淀粉市场主流报价在2470-2560元/吨，东北地区玉米淀粉市场地销主流价格在2350-2450元/吨，个别较上周略跌10元/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昨日公布临储拍卖第十五轮公告，计划拍卖数量由400万吨削减至350万吨，引发市场对于后期拍卖逐渐减少猜想。截止目前临储玉米总计拍卖约2050万吨，随着后续出库，将对9月玉米供应提供有力补充，目前来看，不仅本年度供应无明显缺口，9月份供需或不必过分担忧，将压制玉米及淀粉1月期价反弹空间，但5月合约仍存缺口隐患，基本面将好于1月，长线而言玉米仍处于牛市格局。河南、江苏、安徽等地早春玉米开始陆续流入市场，现货将面临较大压力，预计将进一步走弱。近期中美贸易争端有持续加剧状态，减弱未来谷物进口担忧，也将对玉米期货价格提供支撑。近期猪价持续上涨也印证了生猪存栏的持续下滑，全国生猪头均利润已突破1000元/头并保持持续上涨态势，但由于非洲猪瘟疫情影响，大型企业的复养效果无法准确预估，生猪需求最坏的时候或未到来，禽料需求增长幅度赶不上猪料需求的下滑，养殖端需求仍不容乐观。但下半年养殖端需求逐渐进入消费旺季，短期或减缓部分需求端疲软所带来的压力；此外，淀粉加工利润大多处于亏损状态，但亏损有所缩减，导致开工率止跌反弹，深加工企业玉米采购积极性有望小幅增长。尽管需求端整体仍处于疲软状态，但下半年存在需求恢复亮点，或对玉米及淀粉期价压力有所减弱。</w:t>
            </w:r>
          </w:p>
        </w:tc>
      </w:tr>
      <w:tr>
        <w:tblPrEx>
          <w:tblLayout w:type="fixed"/>
          <w:tblCellMar>
            <w:top w:w="0" w:type="dxa"/>
            <w:left w:w="108" w:type="dxa"/>
            <w:bottom w:w="0" w:type="dxa"/>
            <w:right w:w="108" w:type="dxa"/>
          </w:tblCellMar>
        </w:tblPrEx>
        <w:trPr>
          <w:trHeight w:val="162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9月份供应相对充裕，压制玉米及淀粉1月期价反弹空间，但5月合约仍存缺口隐患，基本面将好于1月，长线而言玉米仍处于牛市格局。玉米基差有望企稳回升。深加工利润不佳，开工率下降打压玉米采购积极性。非洲猪瘟导致饲料需求疲软。  昨日玉米及淀粉期价小幅回落，但预计下方继续回落空间逐步缩减。</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策略：上周建议玉米及淀粉多单可以上周低点为保护轻仓持有。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红枣</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红枣主力合约冲高回落，震荡走低，收于10595，跌110元/吨，跌幅1.03%，持仓减少6000余手，净空持仓增加823至1990手。技术角度，期价于20日线得到支撑，但5日线接近10日线，有下穿的趋势，整体偏弱。沧州、郑州市场货源供应增加，下游拿货客商多积极采购，价格合适的一般货源受青睐，成交以质论价，行情稳弱。产区随着交易的持续进行，剩余货源不多，外来拿货客商采购热情较高，价格合适积极备货，卖家随行交易，成交价格稳硬，行情略有好转。沧州一级灰枣好货价格在9000元/吨左右。郑州一级灰枣价格在8000-9000元/吨之间。好想你交割品一级基差报价：较上一交易日稳定，新疆地区提货价为CJ1912+400元/吨；河北、河南地区提货价为CJ1912+1000元/吨。</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逻辑：中秋临近，走货加快，库存去化积极，现货稳中偏弱，新枣产量或有一定程度下降，有利于支撑盘面，但资金相继离场，流动性降低。策略：多单底仓继续持有，关注10500一线支撑。</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尿素</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尿素走高，收报1736。昨日现货市场整体表现依旧偏弱，河南工厂出厂价在1720-1730，随着价格的持续下跌，再加上市场对未来供需仍抱有一定期望，部分工厂认为市场太悲观，自储的意愿增加，再加上个别工厂周一价格有所回升，昨日期货市场盘中经历回升。不过，目前现货需求并没有实质改善，特别是山西等产地价格持续不振。尽管盘面价格走高，但是不建议追多，前期空单可适当持有，如果回升至1750-1760一线仍可适当试空。</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逻辑：工厂挺价，但是市场价格依旧整体偏弱，短期反弹持续性有限。策略：不建议追多，前期空单可适当持有，如果回升至1750-1760一线仍可适当试空。</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8EA9DB" w:sz="12" w:space="0"/>
              <w:bottom w:val="nil"/>
              <w:right w:val="nil"/>
            </w:tcBorders>
            <w:shd w:val="clear" w:color="000000" w:fill="D9E1F2"/>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粳米</w:t>
            </w:r>
          </w:p>
        </w:tc>
        <w:tc>
          <w:tcPr>
            <w:tcW w:w="5568" w:type="dxa"/>
            <w:tcBorders>
              <w:top w:val="nil"/>
              <w:left w:val="nil"/>
              <w:bottom w:val="nil"/>
              <w:right w:val="single" w:color="8EA9DB"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0" w:hRule="atLeast"/>
        </w:trPr>
        <w:tc>
          <w:tcPr>
            <w:tcW w:w="7356" w:type="dxa"/>
            <w:gridSpan w:val="2"/>
            <w:tcBorders>
              <w:top w:val="nil"/>
              <w:left w:val="single" w:color="8EA9DB" w:sz="12" w:space="0"/>
              <w:bottom w:val="nil"/>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8月26日现货：现货价格略涨，预计短期持稳运行。新粮：黑龙江鹤岗圆粒粳米（龙粳31）出厂价1.98元/斤，虎林1.96元/斤（涨0.02元/斤）；陈粮：绥化13/14年圆粒1.7元/斤，哈尔滨15年圆粒1.7元/斤。（天下粮仓）</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粳米期货主力RR2001昨日开盘冲高后震荡回落，最高点3664元/吨，收盘3634元/吨。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国家暂停部分稻谷竞价销售：经有关部门研究决定，自2019年9月2日起，暂停2013-2016年最低收购价粳稻、2017-2018年最低收购价南方（江苏、安徽、河南）粳稻。大多数米企认为当前新粮1.95-1.98元/斤的价格可震荡偏弱持续到2019年份的新粮下市，10月中旬之前粳米价格都将在现价基础上维持窄幅震荡。</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8EA9DB" w:sz="12" w:space="0"/>
              <w:bottom w:val="single" w:color="8EA9DB" w:sz="12" w:space="0"/>
              <w:right w:val="single" w:color="8EA9DB"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逻辑：短期受消费旺季、减产预期等影响，价格仍将维持高位震荡。策略：</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操作上，3600-3700元/吨价格区间内可高抛低吸。</w:t>
            </w:r>
          </w:p>
        </w:tc>
      </w:tr>
      <w:tr>
        <w:tblPrEx>
          <w:tblLayout w:type="fixed"/>
          <w:tblCellMar>
            <w:top w:w="0" w:type="dxa"/>
            <w:left w:w="108" w:type="dxa"/>
            <w:bottom w:w="0" w:type="dxa"/>
            <w:right w:w="108" w:type="dxa"/>
          </w:tblCellMar>
        </w:tblPrEx>
        <w:trPr>
          <w:trHeight w:val="278" w:hRule="atLeast"/>
        </w:trPr>
        <w:tc>
          <w:tcPr>
            <w:tcW w:w="1788" w:type="dxa"/>
            <w:tcBorders>
              <w:top w:val="single" w:color="C9C9C9" w:sz="12" w:space="0"/>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铜</w:t>
            </w:r>
          </w:p>
        </w:tc>
        <w:tc>
          <w:tcPr>
            <w:tcW w:w="5568" w:type="dxa"/>
            <w:tcBorders>
              <w:top w:val="single" w:color="C9C9C9" w:sz="12" w:space="0"/>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89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8月26日上海电解铜现货对当月合约报升水60~升水90元/吨，平水铜成交价格46270元/吨~46310元/吨，上周上期所铜库存较前周减6257吨至156573吨，LME铜库存增3675吨至331925吨。国家海关总署：中国7月铜矿砂及其精矿进口量为207.4万吨，今年前七个月中国铜矿砂及其精矿进口量为1,262.1万吨，同比增加10.8%；中国7月进口未锻轧铜及铜材42.0万吨。国际铜业研究组织：2019年5月全球精炼铜市场短缺6.2万吨,4月短缺12.4万吨，今年前五个月全球精炼铜市场供应短缺19万吨，去年同期为短缺13.1万吨。</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逻辑：经济增长预期不佳，终端需求疲弱叠加淡季因素，沪铜表现偏弱。但价格低位铜矿供应偏紧，下行阻力较大。策略：暂时观望。</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锌</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97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即将进入消费旺季，但消费持续较弱。全球经济增长低谷期；中美双方定于9.1日正式对对方增收关税，市场避险情绪较高。期锌仍维持低位震荡，昨日LME休市，沪锌1910弱势下行再创新低18270，隔夜ZN1910收184750元/吨，涨幅0.65%。</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基本面：全球精锌库存续降降。国内8月锌精矿加工费环比持平仍持续高位。株冶、汉中、东岭等大型炼厂几近满产，西部、四环检修结束恢复生产增量明显，7月SMM中国精炼锌产量49.07万吨，环比0.64%，同比增加20.15%，预期8月随着检修结束，精锌产量环比小增。</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即将进入消费旺季，伴随高温回落，基建方面订单有明显增加，镀锌及压铸锌方面消费稍有增长，氧化锌消费方面持续疲软，整体8月精锌消费或可稳步缓慢增长，锌价持续下行空间不大。</w:t>
            </w:r>
          </w:p>
        </w:tc>
      </w:tr>
      <w:tr>
        <w:tblPrEx>
          <w:tblLayout w:type="fixed"/>
          <w:tblCellMar>
            <w:top w:w="0" w:type="dxa"/>
            <w:left w:w="108" w:type="dxa"/>
            <w:bottom w:w="0" w:type="dxa"/>
            <w:right w:w="108" w:type="dxa"/>
          </w:tblCellMar>
        </w:tblPrEx>
        <w:trPr>
          <w:trHeight w:val="216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全球经济增长低谷期，中美贸易争端再度升级，市场避险情绪较浓打压锌价。高温北方部分炼厂常规检修，影响了部分精锌增量。高温施工降速及汽车国标转换周期消费受挫，多种不利叠加，期锌持续低位震荡等待指引。随着高温回落，镀锌及压铸锌消费周环比好转，预期8月整体精锌消费同比或持平，锌价持续下行空间不大。预期下周沪期锌低位反弹。</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策略：带止损低成本短多建仓；跨期正套配置；卖铜买锌套利配置、买锌抛铝配置</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期权方案：18500一线买入涨领子期权组合或18200的卖看跌期权</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铝</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97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26日长江14260跌40升水35，南储14270跌50；隔夜沪铝，沪铝主力1910报14215跌25</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宏观方面，周五晚间，中方反制美国3000亿美元关税计划，随即美方提高现有2500亿美元关税从25%提高到30%，并将9月1日3000亿美元关税从10%提高至15%，中美贸易战再度升温；周一特朗普声称中美正重返谈判桌，市场情绪有所缓和。</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基本面方面，山东、新疆两大企业减产强化中期去库预期，但铝厂利润大涨刺激西部水电等企业产能复产；锦宁铝镁计划9月停产11万吨置换至内蒙古锦联铝材；氧化铝开始亏损修复性反弹，但受减产制约，反弹空间不大；26日SMM铝锭库存报104.3万吨，较上周四下降2.3万吨；7月未锻轧铝及铝材出口48.7万吨，6月出口为50.6万吨，出口比价优势继续下降，出口数量预期下降。</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逻辑：中美贸易战复杂化，市场避险情绪上升；大幅度减产强化中期库存去化，沪铝价格支撑强劲，预计短期铝价维持震荡偏强运行，宏观面及需求制约铝价上升空间。</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策略：14400以上布局空单，短线14000-14500区间操作。</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贵金属</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鲍威尔在杰克逊霍尔央行上会议美联储将采取合适的行动以维持经济扩张。同时中美贸易争端再次升级，资本市场大幅动荡，避险资金涌入黄金和日元，美元和美股大幅下挫；人民币汇率亦承压。据CME“美联储观察”：美联储9月降息25个基点至1.75%-2%的概率为99.6%，维持利率在2%-2.25%不变的概率为0%。8月23日SPDR黄金持仓量增0.58%，iShares白银持仓量升0.41%。</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逻辑：货币宽松和贸易战风险的避险推升金银。策略：黄金多头操作，但短期行情明显属于消息刺激后的加速，注意冲高回落的风险。</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C9C9C9" w:sz="12" w:space="0"/>
              <w:bottom w:val="nil"/>
              <w:right w:val="nil"/>
            </w:tcBorders>
            <w:shd w:val="clear" w:color="000000" w:fill="DBDBDB"/>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铅</w:t>
            </w:r>
          </w:p>
        </w:tc>
        <w:tc>
          <w:tcPr>
            <w:tcW w:w="5568" w:type="dxa"/>
            <w:tcBorders>
              <w:top w:val="nil"/>
              <w:left w:val="nil"/>
              <w:bottom w:val="nil"/>
              <w:right w:val="single" w:color="C9C9C9"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C9C9C9" w:sz="12" w:space="0"/>
              <w:bottom w:val="nil"/>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进入消费旺季，消费逐渐恢复。昨日LME休市，沪铅1910弱势下行，隔夜PB1910合约收17055，涨幅0.71%。</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进入消费旺季，蓄企订单增多，显示电池消费环比正逐渐复苏。环保限产暂告一段路，随着期铅价格上涨，炼厂利润好转，原生与再生炼厂开工率整体上调。同时随着价格快速破17000关口，下游观望情绪转强，现货交易转淡，上冲动力稍有不足。</w:t>
            </w:r>
          </w:p>
        </w:tc>
      </w:tr>
      <w:tr>
        <w:tblPrEx>
          <w:tblLayout w:type="fixed"/>
          <w:tblCellMar>
            <w:top w:w="0" w:type="dxa"/>
            <w:left w:w="108" w:type="dxa"/>
            <w:bottom w:w="0" w:type="dxa"/>
            <w:right w:w="108" w:type="dxa"/>
          </w:tblCellMar>
        </w:tblPrEx>
        <w:trPr>
          <w:trHeight w:val="1358" w:hRule="atLeast"/>
        </w:trPr>
        <w:tc>
          <w:tcPr>
            <w:tcW w:w="7356" w:type="dxa"/>
            <w:gridSpan w:val="2"/>
            <w:tcBorders>
              <w:top w:val="nil"/>
              <w:left w:val="single" w:color="C9C9C9" w:sz="12" w:space="0"/>
              <w:bottom w:val="single" w:color="C9C9C9" w:sz="12" w:space="0"/>
              <w:right w:val="single" w:color="C9C9C9"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逻辑：消费旺季，终端消费已显复苏，随着铅价上涨，炼厂利润稍有好转，原生与再生炼厂开工积极，但价格上涨现货交投明显转淡。预期本周铅价高位回调后反弹，1910合约主要运行区间16500-17500元/吨。</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策略：观望或短多减仓。</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期权策略：看涨领子配置中。</w:t>
            </w:r>
          </w:p>
        </w:tc>
      </w:tr>
      <w:tr>
        <w:tblPrEx>
          <w:tblLayout w:type="fixed"/>
          <w:tblCellMar>
            <w:top w:w="0" w:type="dxa"/>
            <w:left w:w="108" w:type="dxa"/>
            <w:bottom w:w="0" w:type="dxa"/>
            <w:right w:w="108" w:type="dxa"/>
          </w:tblCellMar>
        </w:tblPrEx>
        <w:trPr>
          <w:trHeight w:val="278" w:hRule="atLeast"/>
        </w:trPr>
        <w:tc>
          <w:tcPr>
            <w:tcW w:w="1788" w:type="dxa"/>
            <w:tcBorders>
              <w:top w:val="single" w:color="00B0F0" w:sz="12" w:space="0"/>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原油</w:t>
            </w:r>
          </w:p>
        </w:tc>
        <w:tc>
          <w:tcPr>
            <w:tcW w:w="5568" w:type="dxa"/>
            <w:tcBorders>
              <w:top w:val="single" w:color="00B0F0" w:sz="12" w:space="0"/>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378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【夜盘】</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市场对中美关系改善不抱希望，国际油价反弹受阻走跌。SC10月合约夜盘收于420.0元/桶，涨跌-0.9元/桶；WTI10月合约结算价53.64美元/桶，涨跌-0.53美元/桶；Brent10月结算价58.70美元/桶，涨跌-0.64美元/桶。</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【现货市场】</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8月23日欧佩克一揽子油价下跌0.83美元，报每桶59.67美元；8月22日欧佩克一揽子油价报每桶60.50美元；DME 10月合约收于69.39美元/桶，涨跌-0.85美元/桶。</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【消息面】</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Energy Prospectus集团的Dan Steffens表示，美国的原油产量或许已经触顶了；Steffens指出，美国的上游原油和天然气企业都在减少钻井和建造的预算，美国原油钻井数量每周都在下降，而新建好的钻井数量远不及减少的数量；消息：马来西亚国家石油公司以较高升水售出10月装运的日Bunga Orkid原油。</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逻辑：G2关系将中期压制全球原油需求，供给端的不确定性成为原油短期反弹支撑。</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策略：主导逻辑不稳定，前期SC1909 425，WTI55.5，Brent61.5空单持有。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燃料油</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燃料油夜盘1月合约夜盘收于2215元/吨，涨跌35元/吨，涨跌幅1.61%。</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8月26日FOB新加坡高硫380纸货9月收盘涨3.7美元/吨至325美元/吨，10月纸货收盘涨0.8美元/吨至296美元/吨；380现货收盘涨3.58美元/吨至347.21美元/吨；新加坡高硫380CST黄埔到岸价：美金价格364.91美元/吨，涨3.11美元/吨，到岸贴水为21美元/吨。</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逻辑：1月合约对应标的受IMO政策限制需求难以提振。</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策略：单边2100-2200区间空单长线持有。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PTA</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夜盘PTA收报5074。隔夜原油变动不大，昨日早间现货主港货源报盘升水09合约10左右，递盘平水或升水5，商谈预估在5120-5130元/吨自提；午后PTA期货趋弱震荡，现货基差基本维持，报盘较09合约升水10左右，仓单报升水10左右，商谈预估5120-5140元/吨。当前需求表现尚可，8月中旬以来是在改善但是问题是最近有多套PTA检修产能复产，而计划8月检修的恒力石化220万吨装置一直没有兑现，再加上贸易战进一步恶化所以价格表现不佳。近期关键是恒力装置检修情况，如果检修再加上需求旺季下环比改善，PTA价格有机会反弹，但反弹了也就可以布局中长线空单。如果恒力短期内不检修价格大概率继续低位震荡，震荡区间5000-5200，所以做多面临相对较大的不确定性，最合适的是反弹了做空。</w:t>
            </w:r>
          </w:p>
        </w:tc>
      </w:tr>
      <w:tr>
        <w:tblPrEx>
          <w:tblLayout w:type="fixed"/>
          <w:tblCellMar>
            <w:top w:w="0" w:type="dxa"/>
            <w:left w:w="108" w:type="dxa"/>
            <w:bottom w:w="0" w:type="dxa"/>
            <w:right w:w="108" w:type="dxa"/>
          </w:tblCellMar>
        </w:tblPrEx>
        <w:trPr>
          <w:trHeight w:val="81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逻辑：目前的关键是计划中的检修能否如期进行，如果近期检修则价格仍有反弹，否则将继续震荡。策略：短期震荡区间5000-5200，后续若反弹至5400可布局中长线空单。</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塑料</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上游：亚洲乙烯880-820，亚洲丙烯960-920，乙烯、丙烯价格平稳。现货市场：现货市场线性PP价格重心下移。华东上海线性价格7250-7400，华东上海PP主流价格8500-8900，现货成交一般。周一，期货市场塑料PP震荡，主力盘中大幅减仓，市场短期弱势整理。原油及上游单体走弱，聚烯烃成本支撑下移，虽然PP有集中检修支撑，但L下游消费不佳，聚烯烃短期偏弱震荡为主。</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逻辑：中美贸易纠纷升级，聚烯烃短期到港增多，但有检修支撑。策略：短观望为主</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天然橡胶</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泰国原料市场胶片38.53，烟片41.19，胶水39.4，杯胶32.25。沪胶小幅上涨收盘，华东市场全乳胶10350元/吨，泰混10750元/吨，市场整体成交一般。周一，沪胶和20号胶震荡整理，主力盘中减仓，市场短期底部震荡格局。沪胶进入3季度，供应面压力逐渐加大，而下游需求整体表现较弱，同时沪胶9月临近交割，短期基本面压力较大。沪胶及20号胶短期延续偏弱震荡格局。</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逻辑：基本面供应过剩格局不变，操作上维持逢高做空思路。策略：期货观望为主，卖出高位看涨期权，收取权利金。</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沥青</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62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夜盘沥青12月合约夜盘收于3132元/吨，涨跌-20元/吨，涨跌-0.63%。</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重交沥青行情以震荡上行为主，中石油华东挂牌/结算涨100元/吨，华南涨50元/吨，中石化持稳，下游按需接盘，刚需支撑为主，交投气氛不温不火。目前国内山东地区主流成交价在3400-3530元/吨，高价成交压力大。华东市场主流成交3420-3500元/吨，部分低价在3350-3370元/吨；华南市场3450-3550元/吨，华北市场3400-3450元/吨，东北市场3400-3650元/吨。</w:t>
            </w:r>
          </w:p>
        </w:tc>
      </w:tr>
      <w:tr>
        <w:tblPrEx>
          <w:tblLayout w:type="fixed"/>
          <w:tblCellMar>
            <w:top w:w="0" w:type="dxa"/>
            <w:left w:w="108" w:type="dxa"/>
            <w:bottom w:w="0" w:type="dxa"/>
            <w:right w:w="108" w:type="dxa"/>
          </w:tblCellMar>
        </w:tblPrEx>
        <w:trPr>
          <w:trHeight w:val="108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逻辑：北方需求恢复，但8月底需求则开始转弱；传中石油停止进口后被消息证伪。</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策略：建议Bu1912-Fu2001价差，空单1200一线再度接回；3250一线空单持有。</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乙二醇</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昨日夜盘MEG收报4603。隔夜原油变动不大，昨日早间MEG内盘行情震荡向上，现货报盘在4555元/吨上下，递盘4545元/吨附近，9月下货报4570元/吨、10月下货报4560元/吨附近。午后MEG内盘行情继续上行，现货报盘在4590元/吨上下，递盘4580元/吨附近，9月下货报4605元/吨、10月下货报4600元/吨附近。现货供需仍处在相对表现较好，所以期价走势坚挺，短期这种格局仍将持续，不过对01合约来说由于未来新产能投产预期增强以及旺季过后需求预期不会太好，价格中长期仍不会太好，产业过剩格局下，反弹也是阶段性的。期价4700以上可逐渐布局空单。</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逻辑：短期供需格局支撑价格偏强，但是中长期过剩格局不改。策略：期价4700以上可逐渐布局空单。</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00B0F0" w:sz="12" w:space="0"/>
              <w:bottom w:val="nil"/>
              <w:right w:val="nil"/>
            </w:tcBorders>
            <w:shd w:val="clear" w:color="000000" w:fill="00B0F0"/>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纸浆</w:t>
            </w:r>
          </w:p>
        </w:tc>
        <w:tc>
          <w:tcPr>
            <w:tcW w:w="5568" w:type="dxa"/>
            <w:tcBorders>
              <w:top w:val="nil"/>
              <w:left w:val="nil"/>
              <w:bottom w:val="nil"/>
              <w:right w:val="single" w:color="00B0F0"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350" w:hRule="atLeast"/>
        </w:trPr>
        <w:tc>
          <w:tcPr>
            <w:tcW w:w="7356" w:type="dxa"/>
            <w:gridSpan w:val="2"/>
            <w:tcBorders>
              <w:top w:val="nil"/>
              <w:left w:val="single" w:color="00B0F0" w:sz="12" w:space="0"/>
              <w:bottom w:val="nil"/>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现货市场：山东市场银星4550元/吨，凯利普4700元/吨，巴桉4000元/吨；华南市场银星4550元/吨，月亮4650元/吨；江浙市场银星4550元/吨，加针4650元/吨。周一，纸浆上涨，主力盘中大幅增仓，市场短期偏强格局。人民币汇率波动带动纸浆大幅上行，纸浆现货市场整体表现平稳，国内库存维持高位，供应处于相对过剩的格局，但国外纸浆价格坚挺，市场短期表现僵持。</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00B0F0" w:sz="12" w:space="0"/>
              <w:bottom w:val="single" w:color="00B0F0" w:sz="12" w:space="0"/>
              <w:right w:val="single" w:color="00B0F0"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逻辑：国内港口木浆库存维持高位水平，需求不佳。策略：纸浆上涨阻力较大。</w:t>
            </w:r>
          </w:p>
        </w:tc>
      </w:tr>
      <w:tr>
        <w:tblPrEx>
          <w:tblLayout w:type="fixed"/>
          <w:tblCellMar>
            <w:top w:w="0" w:type="dxa"/>
            <w:left w:w="108" w:type="dxa"/>
            <w:bottom w:w="0" w:type="dxa"/>
            <w:right w:w="108" w:type="dxa"/>
          </w:tblCellMar>
        </w:tblPrEx>
        <w:trPr>
          <w:trHeight w:val="278" w:hRule="atLeast"/>
        </w:trPr>
        <w:tc>
          <w:tcPr>
            <w:tcW w:w="1788" w:type="dxa"/>
            <w:tcBorders>
              <w:top w:val="single" w:color="AEAAAA" w:sz="12" w:space="0"/>
              <w:left w:val="single" w:color="AEAAAA" w:sz="12" w:space="0"/>
              <w:bottom w:val="nil"/>
              <w:right w:val="nil"/>
            </w:tcBorders>
            <w:shd w:val="clear" w:color="000000" w:fill="D0CECE"/>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螺矿</w:t>
            </w:r>
          </w:p>
        </w:tc>
        <w:tc>
          <w:tcPr>
            <w:tcW w:w="5568" w:type="dxa"/>
            <w:tcBorders>
              <w:top w:val="single" w:color="AEAAAA" w:sz="12" w:space="0"/>
              <w:left w:val="nil"/>
              <w:bottom w:val="nil"/>
              <w:right w:val="single" w:color="AEAAAA"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1890" w:hRule="atLeast"/>
        </w:trPr>
        <w:tc>
          <w:tcPr>
            <w:tcW w:w="7356" w:type="dxa"/>
            <w:gridSpan w:val="2"/>
            <w:tcBorders>
              <w:top w:val="nil"/>
              <w:left w:val="single" w:color="AEAAAA" w:sz="12" w:space="0"/>
              <w:bottom w:val="nil"/>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主要城市HRB400螺纹钢上海3660元/吨，天津3620元/吨，广州4030/吨。上海废钢报2360元/吨，唐山方坯3380元/吨。政治局会议再次强调房住不炒，不将房地产作为短期刺激经济的手段。钢厂联合限产保价范围持续扩大，真正执行落地效果仍有待观察，短期供强需弱格局不易改变，库存压力仍然存在。周度产量和库存数据连续两周转降，显示下游需求有所释放，结合钢材长期调整，做空情绪有所收敛，但受到中美贸易摩擦升级影响，市场情绪再度悲观，预计行情仍将震荡趋弱。</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EAAAA" w:sz="12" w:space="0"/>
              <w:bottom w:val="single" w:color="AEAAAA" w:sz="12" w:space="0"/>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逻辑：库存连续下降支撑，考验需求释放持续性。</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策略：螺纹钢、铁矿逢高做空。</w:t>
            </w:r>
          </w:p>
        </w:tc>
      </w:tr>
      <w:tr>
        <w:tblPrEx>
          <w:tblLayout w:type="fixed"/>
          <w:tblCellMar>
            <w:top w:w="0" w:type="dxa"/>
            <w:left w:w="108" w:type="dxa"/>
            <w:bottom w:w="0" w:type="dxa"/>
            <w:right w:w="108" w:type="dxa"/>
          </w:tblCellMar>
        </w:tblPrEx>
        <w:trPr>
          <w:trHeight w:val="278" w:hRule="atLeast"/>
        </w:trPr>
        <w:tc>
          <w:tcPr>
            <w:tcW w:w="1788" w:type="dxa"/>
            <w:tcBorders>
              <w:top w:val="nil"/>
              <w:left w:val="single" w:color="AEAAAA" w:sz="12" w:space="0"/>
              <w:bottom w:val="nil"/>
              <w:right w:val="nil"/>
            </w:tcBorders>
            <w:shd w:val="clear" w:color="000000" w:fill="D0CECE"/>
            <w:noWrap/>
          </w:tcPr>
          <w:p>
            <w:pPr>
              <w:widowControl/>
              <w:jc w:val="center"/>
              <w:rPr>
                <w:rFonts w:hint="eastAsia" w:ascii="楷体_GB2312" w:hAnsi="宋体" w:eastAsia="楷体_GB2312" w:cs="宋体"/>
                <w:b/>
                <w:bCs/>
                <w:kern w:val="0"/>
                <w:sz w:val="22"/>
              </w:rPr>
            </w:pPr>
            <w:r>
              <w:rPr>
                <w:rFonts w:hint="eastAsia" w:ascii="楷体_GB2312" w:hAnsi="宋体" w:eastAsia="楷体_GB2312" w:cs="宋体"/>
                <w:b/>
                <w:bCs/>
                <w:kern w:val="0"/>
                <w:sz w:val="22"/>
              </w:rPr>
              <w:t>煤焦</w:t>
            </w:r>
          </w:p>
        </w:tc>
        <w:tc>
          <w:tcPr>
            <w:tcW w:w="5568" w:type="dxa"/>
            <w:tcBorders>
              <w:top w:val="nil"/>
              <w:left w:val="nil"/>
              <w:bottom w:val="nil"/>
              <w:right w:val="single" w:color="AEAAAA" w:sz="12" w:space="0"/>
            </w:tcBorders>
            <w:shd w:val="clear" w:color="000000" w:fill="FFFFFF"/>
            <w:noWrap/>
          </w:tcPr>
          <w:p>
            <w:pPr>
              <w:widowControl/>
              <w:jc w:val="center"/>
              <w:rPr>
                <w:rFonts w:hint="eastAsia"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160" w:hRule="atLeast"/>
        </w:trPr>
        <w:tc>
          <w:tcPr>
            <w:tcW w:w="7356" w:type="dxa"/>
            <w:gridSpan w:val="2"/>
            <w:tcBorders>
              <w:top w:val="nil"/>
              <w:left w:val="single" w:color="AEAAAA" w:sz="12" w:space="0"/>
              <w:bottom w:val="nil"/>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近期煤焦现货整体持稳运行，焦炭第二轮提涨基本落地，但焦企对继续提涨亦持谨慎态度，主要原因为随着山西焦企复产以及唐山钢厂的复产到位，焦炭的供需结构正向不利方向转变，加之十月份重大活动限产在即，钢厂开工恐进一步下滑，进而影响煤焦需求。整体来看，煤焦现货供需结构有宽松趋势，且宏观面的悲观预期仍在，特别是中美贸易摩擦的升级，使市场对未来钢材需求下降的疑虑上升，进而封锁了远期上涨的空间。我们认为，黑色品种趋势性转弱的结构已非常明显，长期策略仍保持逢高做空，建议中长期投资者空单可继续持有。</w:t>
            </w:r>
          </w:p>
        </w:tc>
      </w:tr>
      <w:tr>
        <w:tblPrEx>
          <w:tblLayout w:type="fixed"/>
          <w:tblCellMar>
            <w:top w:w="0" w:type="dxa"/>
            <w:left w:w="108" w:type="dxa"/>
            <w:bottom w:w="0" w:type="dxa"/>
            <w:right w:w="108" w:type="dxa"/>
          </w:tblCellMar>
        </w:tblPrEx>
        <w:trPr>
          <w:trHeight w:val="548" w:hRule="atLeast"/>
        </w:trPr>
        <w:tc>
          <w:tcPr>
            <w:tcW w:w="7356" w:type="dxa"/>
            <w:gridSpan w:val="2"/>
            <w:tcBorders>
              <w:top w:val="nil"/>
              <w:left w:val="single" w:color="AEAAAA" w:sz="12" w:space="0"/>
              <w:bottom w:val="single" w:color="AEAAAA" w:sz="12" w:space="0"/>
              <w:right w:val="single" w:color="AEAAAA" w:sz="12" w:space="0"/>
            </w:tcBorders>
            <w:shd w:val="clear" w:color="000000" w:fill="FFFFFF"/>
          </w:tcPr>
          <w:p>
            <w:pPr>
              <w:widowControl/>
              <w:jc w:val="left"/>
              <w:rPr>
                <w:rFonts w:hint="eastAsia" w:ascii="楷体_GB2312" w:hAnsi="宋体" w:eastAsia="楷体_GB2312" w:cs="宋体"/>
                <w:kern w:val="0"/>
                <w:sz w:val="22"/>
              </w:rPr>
            </w:pPr>
            <w:r>
              <w:rPr>
                <w:rFonts w:hint="eastAsia" w:ascii="楷体_GB2312" w:hAnsi="宋体" w:eastAsia="楷体_GB2312" w:cs="宋体"/>
                <w:kern w:val="0"/>
                <w:sz w:val="22"/>
              </w:rPr>
              <w:t>逻辑：煤焦现货整体持稳，供需结构有所转变，黑色趋势性转弱格局不变</w:t>
            </w:r>
            <w:r>
              <w:rPr>
                <w:rFonts w:hint="eastAsia" w:ascii="楷体_GB2312" w:hAnsi="宋体" w:eastAsia="楷体_GB2312" w:cs="宋体"/>
                <w:kern w:val="0"/>
                <w:sz w:val="22"/>
              </w:rPr>
              <w:br w:type="textWrapping"/>
            </w:r>
            <w:r>
              <w:rPr>
                <w:rFonts w:hint="eastAsia" w:ascii="楷体_GB2312" w:hAnsi="宋体" w:eastAsia="楷体_GB2312" w:cs="宋体"/>
                <w:kern w:val="0"/>
                <w:sz w:val="22"/>
              </w:rPr>
              <w:t>策略：建议中长线投资者空单继续持有</w:t>
            </w:r>
          </w:p>
        </w:tc>
      </w:tr>
    </w:tbl>
    <w:p>
      <w:pPr>
        <w:rPr>
          <w:b/>
          <w:bCs/>
        </w:rPr>
      </w:pPr>
      <w:bookmarkStart w:id="0" w:name="_GoBack"/>
      <w:r>
        <w:rPr>
          <w:rFonts w:hint="eastAsia"/>
          <w:b/>
          <w:bCs/>
        </w:rPr>
        <w:t>以上信息、意见不构成对具体证券期货或金融工具在具体价位、具体时点、具体市场表现的投资建议。以上信息、意见在任何时候均不构成对任何人的具有针对性的、指导具体投资的操作意见，投资者应当对以上信息和意见进行评估，根据自身情况自主做出投资决策并自行承担投资风险。</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66"/>
    <w:rsid w:val="000045A0"/>
    <w:rsid w:val="00037C66"/>
    <w:rsid w:val="00075E4C"/>
    <w:rsid w:val="00083B1B"/>
    <w:rsid w:val="000F6764"/>
    <w:rsid w:val="00114D29"/>
    <w:rsid w:val="00141B16"/>
    <w:rsid w:val="00147CA0"/>
    <w:rsid w:val="002E02A0"/>
    <w:rsid w:val="00320A41"/>
    <w:rsid w:val="00421677"/>
    <w:rsid w:val="00426142"/>
    <w:rsid w:val="004B4ADA"/>
    <w:rsid w:val="004E7682"/>
    <w:rsid w:val="004F0ADD"/>
    <w:rsid w:val="005113DA"/>
    <w:rsid w:val="005232F1"/>
    <w:rsid w:val="005A49D8"/>
    <w:rsid w:val="005F603A"/>
    <w:rsid w:val="00634383"/>
    <w:rsid w:val="006D31D4"/>
    <w:rsid w:val="007002C7"/>
    <w:rsid w:val="0071014D"/>
    <w:rsid w:val="00791853"/>
    <w:rsid w:val="007C2295"/>
    <w:rsid w:val="007C55E0"/>
    <w:rsid w:val="007D75BB"/>
    <w:rsid w:val="0086094D"/>
    <w:rsid w:val="008B6CAC"/>
    <w:rsid w:val="008E3039"/>
    <w:rsid w:val="00930182"/>
    <w:rsid w:val="009324AB"/>
    <w:rsid w:val="00943392"/>
    <w:rsid w:val="009A363D"/>
    <w:rsid w:val="009A64C7"/>
    <w:rsid w:val="009E3C79"/>
    <w:rsid w:val="00A60636"/>
    <w:rsid w:val="00B14783"/>
    <w:rsid w:val="00B23D87"/>
    <w:rsid w:val="00BB46E5"/>
    <w:rsid w:val="00C41CF0"/>
    <w:rsid w:val="00C955F9"/>
    <w:rsid w:val="00CF4B4C"/>
    <w:rsid w:val="00D444C6"/>
    <w:rsid w:val="00D63C6C"/>
    <w:rsid w:val="00D67CD0"/>
    <w:rsid w:val="00E74AD3"/>
    <w:rsid w:val="00E829E2"/>
    <w:rsid w:val="00EA610F"/>
    <w:rsid w:val="00ED6081"/>
    <w:rsid w:val="00EF1846"/>
    <w:rsid w:val="52BA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1696</Words>
  <Characters>9670</Characters>
  <Lines>80</Lines>
  <Paragraphs>22</Paragraphs>
  <TotalTime>0</TotalTime>
  <ScaleCrop>false</ScaleCrop>
  <LinksUpToDate>false</LinksUpToDate>
  <CharactersWithSpaces>11344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2018-12-04T00:44:00Z</dcterms:created>
  <dc:creator>tsing zhao</dc:creator>
  <cp:lastModifiedBy>鲸鱼的小心肝儿~</cp:lastModifiedBy>
  <dcterms:modified xsi:type="dcterms:W3CDTF">2019-08-27T00:45:51Z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